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9B3C24">
        <w:rPr>
          <w:sz w:val="24"/>
          <w:szCs w:val="24"/>
        </w:rPr>
        <w:t xml:space="preserve">Gargrave </w:t>
      </w:r>
      <w:r>
        <w:rPr>
          <w:b/>
          <w:sz w:val="24"/>
          <w:szCs w:val="24"/>
        </w:rPr>
        <w:t xml:space="preserve"> </w:t>
      </w:r>
    </w:p>
    <w:p w:rsidR="00C1109B" w:rsidRDefault="00CD432F" w:rsidP="00CD432F">
      <w:pPr>
        <w:rPr>
          <w:sz w:val="24"/>
          <w:szCs w:val="24"/>
        </w:rPr>
      </w:pPr>
      <w:r>
        <w:rPr>
          <w:b/>
          <w:sz w:val="24"/>
          <w:szCs w:val="24"/>
        </w:rPr>
        <w:t xml:space="preserve">Site Number and Address: </w:t>
      </w:r>
      <w:r w:rsidR="009B3C24">
        <w:rPr>
          <w:sz w:val="24"/>
          <w:szCs w:val="24"/>
        </w:rPr>
        <w:t>GA004</w:t>
      </w:r>
      <w:r w:rsidR="00F85A12">
        <w:rPr>
          <w:sz w:val="24"/>
          <w:szCs w:val="24"/>
        </w:rPr>
        <w:t>;</w:t>
      </w:r>
      <w:r w:rsidRPr="00CD432F">
        <w:rPr>
          <w:sz w:val="24"/>
          <w:szCs w:val="24"/>
        </w:rPr>
        <w:t xml:space="preserve"> </w:t>
      </w:r>
      <w:r w:rsidR="009B3C24">
        <w:rPr>
          <w:sz w:val="24"/>
          <w:szCs w:val="24"/>
        </w:rPr>
        <w:t>Neville House, Neville Crescent</w:t>
      </w:r>
      <w:r w:rsidRPr="00CD432F">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E84D0B">
      <w:pPr>
        <w:rPr>
          <w:b/>
          <w:i/>
        </w:rPr>
      </w:pPr>
      <w:r w:rsidRPr="00E84D0B">
        <w:rPr>
          <w:noProof/>
          <w:lang w:eastAsia="en-GB"/>
        </w:rPr>
        <w:drawing>
          <wp:inline distT="0" distB="0" distL="0" distR="0" wp14:anchorId="01843660" wp14:editId="4826C057">
            <wp:extent cx="8863330" cy="72295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722952"/>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rsidR="009B3C24">
        <w:t xml:space="preserve">, </w:t>
      </w:r>
      <w:r>
        <w:t>with mitigati</w:t>
      </w:r>
      <w:r w:rsidR="009B3C24">
        <w:t>on measures and recommendations</w:t>
      </w:r>
      <w:r>
        <w:t>. The site i</w:t>
      </w:r>
      <w:r w:rsidRPr="00C1109B">
        <w:t>s a candidate for the Pr</w:t>
      </w:r>
      <w:r w:rsidR="009B3C24">
        <w:t>eferred Sites list for Gargrave</w:t>
      </w:r>
      <w:r>
        <w:t>, subject to Stage 2 analysis below, and also a possible comparison of the site’s merits with oth</w:t>
      </w:r>
      <w:r w:rsidR="009B3C24">
        <w:t>er sustainable sites in Gargrave</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9B3C24"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in a designated rural area, and is likely to deliver 6 or more dwellings. A financial contribution towards affordable housing is </w:t>
            </w:r>
            <w:r w:rsidRPr="00CD432F">
              <w:lastRenderedPageBreak/>
              <w:t>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9B3C2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9B3C24" w:rsidP="00B21C52">
            <w:pPr>
              <w:jc w:val="center"/>
              <w:rPr>
                <w:b/>
              </w:rPr>
            </w:pPr>
            <w:r>
              <w:rPr>
                <w:b/>
              </w:rPr>
              <w:t>central</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9B3C2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9B3C24" w:rsidP="00B21C52">
            <w:pPr>
              <w:jc w:val="center"/>
              <w:rPr>
                <w:b/>
              </w:rPr>
            </w:pPr>
            <w:r>
              <w:rPr>
                <w:b/>
              </w:rPr>
              <w:t>central</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9B3C24"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9B3C24">
        <w:t xml:space="preserve">te options in Gargrave, the site 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7C4CD1" w:rsidRDefault="009B3C24" w:rsidP="00834C80">
      <w:pPr>
        <w:jc w:val="both"/>
      </w:pPr>
      <w:r>
        <w:t>Site GA004</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The site is situated in the centre of</w:t>
      </w:r>
      <w:r>
        <w:t xml:space="preserve"> </w:t>
      </w:r>
      <w:proofErr w:type="spellStart"/>
      <w:r>
        <w:t>Gargrave</w:t>
      </w:r>
      <w:r w:rsidR="00B21C52">
        <w:t>’s</w:t>
      </w:r>
      <w:proofErr w:type="spellEnd"/>
      <w:r w:rsidR="00B21C52">
        <w:t xml:space="preserve"> built up</w:t>
      </w:r>
      <w:r w:rsidR="00834C80">
        <w:t xml:space="preserve"> area, which allows easier </w:t>
      </w:r>
      <w:r w:rsidR="00E22A10">
        <w:t>access</w:t>
      </w:r>
      <w:r w:rsidR="00834C80">
        <w:t xml:space="preserve"> to the town’s services</w:t>
      </w:r>
      <w:r w:rsidR="00E22A10">
        <w:t>,</w:t>
      </w:r>
      <w:r w:rsidR="00834C80">
        <w:t xml:space="preserve"> and hence improving connectivity and reducing the need for travel. The site has an existing, safe access with good sightlines available. The site </w:t>
      </w:r>
      <w:r>
        <w:t>is currently used for eld</w:t>
      </w:r>
      <w:r w:rsidR="00660165">
        <w:t>e</w:t>
      </w:r>
      <w:r w:rsidR="00100DCA">
        <w:t>rly care provision (as of Novemb</w:t>
      </w:r>
      <w:r w:rsidR="00660165">
        <w:t>er</w:t>
      </w:r>
      <w:r>
        <w:t xml:space="preserve"> 2017), and therefore it would be a brownfield site which would be</w:t>
      </w:r>
      <w:r w:rsidR="00834C80">
        <w:t xml:space="preserve"> suitable for </w:t>
      </w:r>
      <w:r>
        <w:t>re-</w:t>
      </w:r>
      <w:r w:rsidR="00834C80">
        <w:t xml:space="preserve">development. As the site is in the central area of the existing built up settlement, it also performs favourably regarding </w:t>
      </w:r>
      <w:r w:rsidR="00E22A10">
        <w:t xml:space="preserve">a likely low level of potential </w:t>
      </w:r>
      <w:r w:rsidR="00834C80">
        <w:t xml:space="preserve">impact on the nearby National Park boundary. </w:t>
      </w:r>
      <w:r w:rsidR="00E22A10">
        <w:t>The site is also not in the north or north-east of the settlement, closest t</w:t>
      </w:r>
      <w:r>
        <w:t>o the National Park’s boundary, and therefore it performs comparatively well against some other options in the Pool of Sites for Gargrave, regarding Stage 2 analysis outlined above.</w:t>
      </w:r>
    </w:p>
    <w:p w:rsidR="00834C80" w:rsidRDefault="00AD0ACF">
      <w:pPr>
        <w:rPr>
          <w:b/>
        </w:rPr>
      </w:pPr>
      <w:r>
        <w:rPr>
          <w:b/>
          <w:i/>
        </w:rPr>
        <w:t>Approximate</w:t>
      </w:r>
      <w:r w:rsidR="00C1109B" w:rsidRPr="007C4CD1">
        <w:rPr>
          <w:b/>
          <w:i/>
        </w:rPr>
        <w:t xml:space="preserve"> Area:</w:t>
      </w:r>
      <w:r w:rsidR="00C1109B">
        <w:rPr>
          <w:b/>
        </w:rPr>
        <w:t xml:space="preserve"> </w:t>
      </w:r>
      <w:r>
        <w:t>0.4</w:t>
      </w:r>
      <w:r w:rsidR="00834C80" w:rsidRPr="00834C80">
        <w:t xml:space="preserve"> hectares (all of available SHLAA site)</w:t>
      </w:r>
      <w:r w:rsidR="00F2287F">
        <w:t>.</w:t>
      </w:r>
    </w:p>
    <w:p w:rsidR="00AD0ACF" w:rsidRDefault="00AD0ACF">
      <w:r>
        <w:rPr>
          <w:b/>
          <w:i/>
        </w:rPr>
        <w:t xml:space="preserve">Approximate </w:t>
      </w:r>
      <w:r w:rsidR="00834C80" w:rsidRPr="007C4CD1">
        <w:rPr>
          <w:b/>
          <w:i/>
        </w:rPr>
        <w:t xml:space="preserve">Number of </w:t>
      </w:r>
      <w:r w:rsidR="00F2287F" w:rsidRPr="007C4CD1">
        <w:rPr>
          <w:b/>
          <w:i/>
        </w:rPr>
        <w:t>Dw</w:t>
      </w:r>
      <w:r>
        <w:rPr>
          <w:b/>
          <w:i/>
        </w:rPr>
        <w:t>ellings</w:t>
      </w:r>
      <w:r w:rsidR="00834C80" w:rsidRPr="007C4CD1">
        <w:rPr>
          <w:b/>
          <w:i/>
        </w:rPr>
        <w:t>:</w:t>
      </w:r>
      <w:r w:rsidR="00834C80">
        <w:rPr>
          <w:b/>
        </w:rPr>
        <w:t xml:space="preserve"> </w:t>
      </w:r>
      <w:r w:rsidR="009B3C24">
        <w:t>14</w:t>
      </w:r>
      <w:r w:rsidR="00F2287F">
        <w:t xml:space="preserve"> dwellings </w:t>
      </w:r>
    </w:p>
    <w:p w:rsidR="00F2287F" w:rsidRPr="007C4CD1" w:rsidRDefault="00F2287F">
      <w:pPr>
        <w:rPr>
          <w:i/>
        </w:rPr>
      </w:pPr>
      <w:r w:rsidRPr="007C4CD1">
        <w:rPr>
          <w:b/>
          <w:i/>
        </w:rPr>
        <w:t xml:space="preserve">Development Principles: </w:t>
      </w:r>
    </w:p>
    <w:p w:rsidR="00774117" w:rsidRPr="00774117" w:rsidRDefault="00774117" w:rsidP="00774117">
      <w:pPr>
        <w:numPr>
          <w:ilvl w:val="0"/>
          <w:numId w:val="8"/>
        </w:numPr>
        <w:ind w:left="425"/>
        <w:contextualSpacing/>
        <w:rPr>
          <w:rFonts w:cstheme="minorHAnsi"/>
          <w:color w:val="000000"/>
        </w:rPr>
      </w:pPr>
      <w:r w:rsidRPr="00774117">
        <w:rPr>
          <w:rFonts w:cstheme="minorHAnsi"/>
          <w:color w:val="000000"/>
        </w:rPr>
        <w:t>The site is in a prominent location. Development proposals should be carefully and sensitively designed to minimise visual impact on the character and appearance of the area, and include measures to minimise impacts on air qua</w:t>
      </w:r>
      <w:r w:rsidRPr="00774117">
        <w:rPr>
          <w:rFonts w:cstheme="minorHAnsi"/>
          <w:color w:val="000000"/>
        </w:rPr>
        <w:t>lity, noise and light pollution;</w:t>
      </w:r>
    </w:p>
    <w:p w:rsidR="00774117" w:rsidRPr="00774117" w:rsidRDefault="00774117" w:rsidP="00774117">
      <w:pPr>
        <w:ind w:left="425"/>
        <w:contextualSpacing/>
        <w:rPr>
          <w:rFonts w:cstheme="minorHAnsi"/>
          <w:color w:val="000000"/>
        </w:rPr>
      </w:pPr>
    </w:p>
    <w:p w:rsidR="00774117" w:rsidRPr="00774117" w:rsidRDefault="00774117" w:rsidP="00774117">
      <w:pPr>
        <w:numPr>
          <w:ilvl w:val="0"/>
          <w:numId w:val="8"/>
        </w:numPr>
        <w:ind w:left="425"/>
        <w:contextualSpacing/>
        <w:rPr>
          <w:rFonts w:eastAsia="Calibri" w:cstheme="minorHAnsi"/>
        </w:rPr>
      </w:pPr>
      <w:r w:rsidRPr="00774117">
        <w:rPr>
          <w:rFonts w:eastAsia="Calibri" w:cstheme="minorHAnsi"/>
        </w:rPr>
        <w:t>Ground work assessment will be required as part of the on-site works to investigate areas thought to be</w:t>
      </w:r>
      <w:r w:rsidRPr="00774117">
        <w:rPr>
          <w:rFonts w:eastAsia="Calibri" w:cstheme="minorHAnsi"/>
        </w:rPr>
        <w:t xml:space="preserve"> of archaeological significance;</w:t>
      </w:r>
    </w:p>
    <w:p w:rsidR="00774117" w:rsidRPr="00774117" w:rsidRDefault="00774117" w:rsidP="00774117">
      <w:pPr>
        <w:contextualSpacing/>
        <w:rPr>
          <w:rFonts w:cstheme="minorHAnsi"/>
          <w:color w:val="000000"/>
        </w:rPr>
      </w:pPr>
    </w:p>
    <w:p w:rsidR="00774117" w:rsidRPr="00774117" w:rsidRDefault="00774117" w:rsidP="00774117">
      <w:pPr>
        <w:numPr>
          <w:ilvl w:val="0"/>
          <w:numId w:val="8"/>
        </w:numPr>
        <w:spacing w:before="120" w:after="120"/>
        <w:ind w:left="425"/>
        <w:contextualSpacing/>
        <w:rPr>
          <w:rFonts w:cstheme="minorHAnsi"/>
          <w:color w:val="000000" w:themeColor="text1"/>
        </w:rPr>
      </w:pPr>
      <w:r w:rsidRPr="00774117">
        <w:rPr>
          <w:rFonts w:cstheme="minorHAnsi"/>
          <w:color w:val="000000" w:themeColor="text1"/>
        </w:rPr>
        <w:t>Access to the site is to be gained from the existi</w:t>
      </w:r>
      <w:r w:rsidRPr="00774117">
        <w:rPr>
          <w:rFonts w:cstheme="minorHAnsi"/>
          <w:color w:val="000000" w:themeColor="text1"/>
        </w:rPr>
        <w:t>ng access onto Neville Crescent;</w:t>
      </w:r>
      <w:bookmarkStart w:id="0" w:name="_GoBack"/>
      <w:bookmarkEnd w:id="0"/>
    </w:p>
    <w:p w:rsidR="00774117" w:rsidRPr="00774117" w:rsidRDefault="00774117" w:rsidP="00774117">
      <w:pPr>
        <w:spacing w:before="120" w:after="120"/>
        <w:ind w:left="425"/>
        <w:contextualSpacing/>
        <w:rPr>
          <w:rFonts w:cstheme="minorHAnsi"/>
          <w:color w:val="000000" w:themeColor="text1"/>
        </w:rPr>
      </w:pPr>
    </w:p>
    <w:p w:rsidR="00774117" w:rsidRPr="00774117" w:rsidRDefault="00774117" w:rsidP="00774117">
      <w:pPr>
        <w:numPr>
          <w:ilvl w:val="0"/>
          <w:numId w:val="8"/>
        </w:numPr>
        <w:spacing w:before="120" w:after="120"/>
        <w:ind w:left="425" w:hanging="326"/>
        <w:contextualSpacing/>
        <w:rPr>
          <w:rFonts w:cstheme="minorHAnsi"/>
          <w:color w:val="000000" w:themeColor="text1"/>
        </w:rPr>
      </w:pPr>
      <w:r w:rsidRPr="00774117">
        <w:rPr>
          <w:rFonts w:cstheme="minorHAnsi"/>
          <w:color w:val="000000" w:themeColor="text1"/>
        </w:rPr>
        <w:t xml:space="preserve">Development proposals for this site must accord with </w:t>
      </w:r>
      <w:r w:rsidRPr="00774117">
        <w:rPr>
          <w:rFonts w:cstheme="minorHAnsi"/>
          <w:bCs/>
          <w:color w:val="000000" w:themeColor="text1"/>
        </w:rPr>
        <w:t>local plan policies H2, INF3 and INF6 (which set out requirements for contributions towards affordable housing, education provision and sport, open space and recreation facilities) and all other</w:t>
      </w:r>
      <w:r w:rsidRPr="00774117">
        <w:rPr>
          <w:rFonts w:cstheme="minorHAnsi"/>
          <w:color w:val="000000" w:themeColor="text1"/>
        </w:rPr>
        <w:t xml:space="preserve"> relevant local plan policies.</w:t>
      </w:r>
    </w:p>
    <w:p w:rsidR="00C1109B" w:rsidRPr="00774117" w:rsidRDefault="00C1109B"/>
    <w:sectPr w:rsidR="00C1109B" w:rsidRPr="00774117"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EB4" w:rsidRDefault="00743EB4" w:rsidP="00FC3903">
      <w:pPr>
        <w:spacing w:after="0" w:line="240" w:lineRule="auto"/>
      </w:pPr>
      <w:r>
        <w:separator/>
      </w:r>
    </w:p>
  </w:endnote>
  <w:endnote w:type="continuationSeparator" w:id="0">
    <w:p w:rsidR="00743EB4" w:rsidRDefault="00743EB4"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774117">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EB4" w:rsidRDefault="00743EB4" w:rsidP="00FC3903">
      <w:pPr>
        <w:spacing w:after="0" w:line="240" w:lineRule="auto"/>
      </w:pPr>
      <w:r>
        <w:separator/>
      </w:r>
    </w:p>
  </w:footnote>
  <w:footnote w:type="continuationSeparator" w:id="0">
    <w:p w:rsidR="00743EB4" w:rsidRDefault="00743EB4"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7"/>
  </w:num>
  <w:num w:numId="5">
    <w:abstractNumId w:val="6"/>
  </w:num>
  <w:num w:numId="6">
    <w:abstractNumId w:val="2"/>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100DCA"/>
    <w:rsid w:val="001B5A4B"/>
    <w:rsid w:val="002C0460"/>
    <w:rsid w:val="00486081"/>
    <w:rsid w:val="00486D03"/>
    <w:rsid w:val="00506DFB"/>
    <w:rsid w:val="0053462A"/>
    <w:rsid w:val="00660165"/>
    <w:rsid w:val="00664307"/>
    <w:rsid w:val="006A0E5C"/>
    <w:rsid w:val="00743EB4"/>
    <w:rsid w:val="00774117"/>
    <w:rsid w:val="00776515"/>
    <w:rsid w:val="007C4CD1"/>
    <w:rsid w:val="00834C80"/>
    <w:rsid w:val="009B3C24"/>
    <w:rsid w:val="00A6168D"/>
    <w:rsid w:val="00A962E0"/>
    <w:rsid w:val="00AD0ACF"/>
    <w:rsid w:val="00B11693"/>
    <w:rsid w:val="00B21C52"/>
    <w:rsid w:val="00C1109B"/>
    <w:rsid w:val="00CD432F"/>
    <w:rsid w:val="00DB2510"/>
    <w:rsid w:val="00E22A10"/>
    <w:rsid w:val="00E67360"/>
    <w:rsid w:val="00E84D0B"/>
    <w:rsid w:val="00EA11D8"/>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E1ED2-54A0-46BB-9C36-01D1EFE15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16</cp:revision>
  <dcterms:created xsi:type="dcterms:W3CDTF">2017-02-23T16:20:00Z</dcterms:created>
  <dcterms:modified xsi:type="dcterms:W3CDTF">2019-11-11T10:54:00Z</dcterms:modified>
</cp:coreProperties>
</file>